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DocReveal – Cookie Policy and Cookie Settings</w:t>
      </w:r>
    </w:p>
    <w:p>
      <w:pPr>
        <w:pStyle w:val="Subtitle"/>
      </w:pPr>
      <w:r>
        <w:t xml:space="preserve">Information about browser storage, consent and external services</w:t>
      </w:r>
    </w:p>
    <w:p>
      <w:pPr>
        <w:pStyle w:val="Notice"/>
      </w:pPr>
      <w:r>
        <w:t xml:space="preserve">Draft version: 2026-06-06</w:t>
      </w:r>
    </w:p>
    <w:p>
      <w:pPr>
        <w:pStyle w:val="Notice"/>
      </w:pPr>
      <w:r>
        <w:t xml:space="preserve">This document is a working legal draft for the DocReveal service. Before production publication it must be reviewed by qualified counsel and completed with the exact operator identity, final business details, tariffs, retention periods, subprocessors and current technical measures.</w:t>
      </w:r>
    </w:p>
    <w:p>
      <w:pPr>
        <w:pStyle w:val="Notice"/>
      </w:pPr>
      <w:r>
        <w:t xml:space="preserve">DocReveal is a cloud service for storing, processing and analysing documents with AI in AWS environments in the EU. Payment and card data are processed by Stripe; DocReveal should store only the identifiers and billing or operational data that are necessary for the service.</w:t>
      </w:r>
    </w:p>
    <w:p>
      <w:pPr>
        <w:pStyle w:val="Heading1"/>
      </w:pPr>
      <w:r>
        <w:t xml:space="preserve">1. Scope</w:t>
      </w:r>
    </w:p>
    <w:p>
      <w:pPr>
        <w:pStyle w:val="Bullet"/>
      </w:pPr>
      <w:r>
        <w:t xml:space="preserve">• This document explains how the public website and application may use cookies, local storage and similar technologies.</w:t>
      </w:r>
    </w:p>
    <w:p>
      <w:pPr>
        <w:pStyle w:val="Bullet"/>
      </w:pPr>
      <w:r>
        <w:t xml:space="preserve">• The final version must match the actual cookie banner, consent platform and scripts deployed in production.</w:t>
      </w:r>
    </w:p>
    <w:p>
      <w:pPr>
        <w:pStyle w:val="Heading1"/>
      </w:pPr>
      <w:r>
        <w:t xml:space="preserve">2. Cookie categories</w:t>
      </w:r>
    </w:p>
    <w:p>
      <w:pPr>
        <w:pStyle w:val="Bullet"/>
      </w:pPr>
      <w:r>
        <w:t xml:space="preserve">• Necessary cookies support security, language selection, sessions and consent management and generally do not require consent.</w:t>
      </w:r>
    </w:p>
    <w:p>
      <w:pPr>
        <w:pStyle w:val="Bullet"/>
      </w:pPr>
      <w:r>
        <w:t xml:space="preserve">• Analytics, marketing and optional functional cookies should be activated only after valid consent where required.</w:t>
      </w:r>
    </w:p>
    <w:p>
      <w:pPr>
        <w:pStyle w:val="Heading1"/>
      </w:pPr>
      <w:r>
        <w:t xml:space="preserve">3. Language preference</w:t>
      </w:r>
    </w:p>
    <w:p>
      <w:pPr>
        <w:pStyle w:val="Bullet"/>
      </w:pPr>
      <w:r>
        <w:t xml:space="preserve">• The web may store the selected language so visitors receive the correct translation and language-specific legal downloads on later visits.</w:t>
      </w:r>
    </w:p>
    <w:p>
      <w:pPr>
        <w:pStyle w:val="Bullet"/>
      </w:pPr>
      <w:r>
        <w:t xml:space="preserve">• This storage should not be used to track the visitor across unrelated websites.</w:t>
      </w:r>
    </w:p>
    <w:p>
      <w:pPr>
        <w:pStyle w:val="Heading1"/>
      </w:pPr>
      <w:r>
        <w:t xml:space="preserve">4. Stripe and external services</w:t>
      </w:r>
    </w:p>
    <w:p>
      <w:pPr>
        <w:pStyle w:val="Bullet"/>
      </w:pPr>
      <w:r>
        <w:t xml:space="preserve">• Stripe may use its own technologies for payment, fraud prevention and security when the user is redirected or when payment components are embedded.</w:t>
      </w:r>
    </w:p>
    <w:p>
      <w:pPr>
        <w:pStyle w:val="Bullet"/>
      </w:pPr>
      <w:r>
        <w:t xml:space="preserve">• Visitors should be informed that Stripe terms and privacy information also apply to the payment environment.</w:t>
      </w:r>
    </w:p>
    <w:p>
      <w:pPr>
        <w:pStyle w:val="Heading1"/>
      </w:pPr>
      <w:r>
        <w:t xml:space="preserve">5. Consent management</w:t>
      </w:r>
    </w:p>
    <w:p>
      <w:pPr>
        <w:pStyle w:val="Bullet"/>
      </w:pPr>
      <w:r>
        <w:t xml:space="preserve">• Visitors must be able to accept, reject and change optional cookie choices easily. Withdrawal should be as easy as giving consent.</w:t>
      </w:r>
    </w:p>
    <w:p>
      <w:pPr>
        <w:pStyle w:val="Bullet"/>
      </w:pPr>
      <w:r>
        <w:t xml:space="preserve">• The production list should include cookie name, provider, purpose, category, retention period and first-party or third-party status.</w:t>
      </w:r>
    </w:p>
    <w:p>
      <w:pPr>
        <w:pStyle w:val="Heading1"/>
      </w:pPr>
      <w:r>
        <w:t xml:space="preserve">6. Third-party scripts and persistent settings access</w:t>
      </w:r>
    </w:p>
    <w:p>
      <w:pPr>
        <w:pStyle w:val="Bullet"/>
      </w:pPr>
      <w:r>
        <w:t xml:space="preserve">• Any third-party scripts, embedded components, chat, analytics, monitoring or payment technologies should be listed with provider, purpose, category, retention and consent requirement.</w:t>
      </w:r>
    </w:p>
    <w:p>
      <w:pPr>
        <w:pStyle w:val="Bullet"/>
      </w:pPr>
      <w:r>
        <w:t xml:space="preserve">• Cookie settings should remain reachable from the footer or another persistent location, and consent evidence should be stored only for the necessary period.</w:t>
      </w:r>
    </w:p>
    <w:p>
      <w:pPr>
        <w:pStyle w:val="Heading1"/>
      </w:pPr>
      <w:r>
        <w:t xml:space="preserve">Review before publication</w:t>
      </w:r>
    </w:p>
    <w:p>
      <w:pPr>
        <w:pStyle w:val="Bullet"/>
      </w:pPr>
      <w:r>
        <w:t xml:space="preserve">• Complete the operator identity, final legal-document URLs, contact processes, subprocessors list, retention table, tariff names, prices, SLA and actually implemented security measures.</w:t>
      </w:r>
    </w:p>
    <w:p>
      <w:pPr>
        <w:pStyle w:val="Bullet"/>
      </w:pPr>
      <w:r>
        <w:t xml:space="preserve">• This document is not a legal service or a final legal opinion.</w:t>
      </w:r>
    </w:p>
    <w:sectPr>
      <w:pgSz w:w="11906" w:h="16838"/>
      <w:pgMar w:top="1440" w:right="1440" w:bottom="1440" w:left="1440" w:header="720" w:footer="720" w:gutter="0"/>
    </w:sectPr>
  </w:body>
</w:document>
</file>

<file path=word/styles.xml><?xml version="1.0" encoding="utf-8"?>
<w:styles xmlns:w="http://schemas.openxmlformats.org/wordprocessingml/2006/main">
  <w:style w:type="paragraph" w:default="1" w:styleId="Normal">
    <w:name w:val="Normal"/>
    <w:qFormat/>
    <w:rPr>
      <w:sz w:val="22"/>
      <w:szCs w:val="22"/>
    </w:rPr>
  </w:style>
  <w:style w:type="paragraph" w:styleId="Title">
    <w:name w:val="Title"/>
    <w:basedOn w:val="Normal"/>
    <w:next w:val="Normal"/>
    <w:qFormat/>
    <w:rPr>
      <w:b/>
      <w:sz w:val="36"/>
      <w:szCs w:val="36"/>
      <w:color w:val="0A6B36"/>
    </w:rPr>
  </w:style>
  <w:style w:type="paragraph" w:styleId="Subtitle">
    <w:name w:val="Subtitle"/>
    <w:basedOn w:val="Normal"/>
    <w:next w:val="Normal"/>
    <w:qFormat/>
    <w:rPr>
      <w:i/>
      <w:sz w:val="24"/>
      <w:szCs w:val="24"/>
      <w:color w:val="4D5B55"/>
    </w:rPr>
  </w:style>
  <w:style w:type="paragraph" w:styleId="Heading1">
    <w:name w:val="heading 1"/>
    <w:basedOn w:val="Normal"/>
    <w:next w:val="Normal"/>
    <w:qFormat/>
    <w:pPr>
      <w:spacing w:before="360" w:after="120"/>
    </w:pPr>
    <w:rPr>
      <w:b/>
      <w:sz w:val="28"/>
      <w:szCs w:val="28"/>
      <w:color w:val="0A6B36"/>
    </w:rPr>
  </w:style>
  <w:style w:type="paragraph" w:styleId="Notice">
    <w:name w:val="Notice"/>
    <w:basedOn w:val="Normal"/>
    <w:next w:val="Normal"/>
    <w:qFormat/>
    <w:pPr>
      <w:spacing w:before="120" w:after="120"/>
    </w:pPr>
    <w:rPr>
      <w:i/>
      <w:color w:val="7A4B00"/>
    </w:rPr>
  </w:style>
  <w:style w:type="paragraph" w:styleId="Bullet">
    <w:name w:val="Bullet"/>
    <w:basedOn w:val="Normal"/>
    <w:next w:val="Normal"/>
    <w:pPr>
      <w:ind w:left="360" w:hanging="180"/>
    </w:pPr>
  </w:style>
</w:styles>
</file>

<file path=word/_rels/document.xml.rels><?xml version="1.0" encoding="UTF-8" standalone="yes"?>
<Relationships xmlns="http://schemas.openxmlformats.org/package/2006/relationships"/>
</file>

<file path=docProps/app.xml><?xml version="1.0" encoding="utf-8"?>
<Properties xmlns="http://schemas.openxmlformats.org/officeDocument/2006/extended-properties" xmlns:vt="http://schemas.openxmlformats.org/officeDocument/2006/docPropsVTypes">
  <Application>DocReveal legal generator</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DocReveal</dc:creator>
  <cp:lastModifiedBy>DocReveal</cp:lastModifiedBy>
  <dcterms:created xsi:type="dcterms:W3CDTF">2026-06-06T00:00:00Z</dcterms:created>
  <dcterms:modified xsi:type="dcterms:W3CDTF">2026-06-06T00:00:00Z</dcterms:modified>
</cp:coreProperties>
</file>